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07E2" w14:textId="6159D4B1" w:rsidR="00DE1CCE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¿Qué es Helios?</w:t>
      </w:r>
    </w:p>
    <w:p w14:paraId="5C3F9491" w14:textId="5B632B3E" w:rsidR="4B6139BC" w:rsidRDefault="4B6139BC" w:rsidP="1B6EB091">
      <w:pPr>
        <w:spacing w:before="240" w:after="240"/>
        <w:jc w:val="both"/>
      </w:pPr>
      <w:r w:rsidRPr="1B6EB091">
        <w:rPr>
          <w:rFonts w:ascii="Aptos" w:eastAsia="Aptos" w:hAnsi="Aptos" w:cs="Aptos"/>
        </w:rPr>
        <w:t xml:space="preserve">La empresa </w:t>
      </w:r>
      <w:r w:rsidRPr="1B6EB091">
        <w:rPr>
          <w:rFonts w:ascii="Aptos" w:eastAsia="Aptos" w:hAnsi="Aptos" w:cs="Aptos"/>
          <w:b/>
          <w:bCs/>
        </w:rPr>
        <w:t>HELIOS ENERGÍA S.A. ESP</w:t>
      </w:r>
      <w:r w:rsidRPr="1B6EB091">
        <w:rPr>
          <w:rFonts w:ascii="Aptos" w:eastAsia="Aptos" w:hAnsi="Aptos" w:cs="Aptos"/>
        </w:rPr>
        <w:t xml:space="preserve"> fue creada en 2016 para desempeñarse en la </w:t>
      </w:r>
      <w:r w:rsidRPr="1B6EB091">
        <w:rPr>
          <w:rFonts w:ascii="Aptos" w:eastAsia="Aptos" w:hAnsi="Aptos" w:cs="Aptos"/>
          <w:b/>
          <w:bCs/>
        </w:rPr>
        <w:t>Generación, Distribución y Comercialización</w:t>
      </w:r>
      <w:r w:rsidRPr="1B6EB091">
        <w:rPr>
          <w:rFonts w:ascii="Aptos" w:eastAsia="Aptos" w:hAnsi="Aptos" w:cs="Aptos"/>
        </w:rPr>
        <w:t xml:space="preserve"> del servicio público domiciliario de energía eléctrica. Comenzó sus actividades de Generación y Comercialización el 1 de abril de 2018 y las de Distribución el 1 de diciembre de 2019, operando en las Zonas No Interconectadas (ZNI).</w:t>
      </w:r>
    </w:p>
    <w:p w14:paraId="26A0F2BA" w14:textId="3C8746F5" w:rsidR="4B6139BC" w:rsidRDefault="4B6139BC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Tabla 1. Datos Generales de la Empresa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B6EB091" w14:paraId="6472F605" w14:textId="77777777" w:rsidTr="00FE52B5">
        <w:trPr>
          <w:trHeight w:val="300"/>
        </w:trPr>
        <w:tc>
          <w:tcPr>
            <w:tcW w:w="4508" w:type="dxa"/>
            <w:shd w:val="clear" w:color="auto" w:fill="FFC000"/>
          </w:tcPr>
          <w:p w14:paraId="3E69797F" w14:textId="087229A3" w:rsidR="1B6EB091" w:rsidRPr="00FE52B5" w:rsidRDefault="1B6EB091" w:rsidP="00FE52B5">
            <w:pPr>
              <w:jc w:val="center"/>
              <w:rPr>
                <w:rFonts w:ascii="Aptos" w:eastAsia="Aptos" w:hAnsi="Aptos" w:cs="Aptos"/>
                <w:b/>
                <w:bCs/>
              </w:rPr>
            </w:pPr>
            <w:r w:rsidRPr="00FE52B5">
              <w:rPr>
                <w:rFonts w:ascii="Aptos" w:eastAsia="Aptos" w:hAnsi="Aptos" w:cs="Aptos"/>
                <w:b/>
                <w:bCs/>
              </w:rPr>
              <w:t>NIT</w:t>
            </w:r>
          </w:p>
        </w:tc>
        <w:tc>
          <w:tcPr>
            <w:tcW w:w="4508" w:type="dxa"/>
            <w:shd w:val="clear" w:color="auto" w:fill="FFC000"/>
          </w:tcPr>
          <w:p w14:paraId="217C8BC8" w14:textId="4F94CC57" w:rsidR="1B6EB091" w:rsidRPr="00FE52B5" w:rsidRDefault="1B6EB091" w:rsidP="00FE52B5">
            <w:pPr>
              <w:jc w:val="center"/>
              <w:rPr>
                <w:b/>
                <w:bCs/>
              </w:rPr>
            </w:pPr>
            <w:r w:rsidRPr="00FE52B5">
              <w:rPr>
                <w:rFonts w:ascii="Aptos" w:eastAsia="Aptos" w:hAnsi="Aptos" w:cs="Aptos"/>
                <w:b/>
                <w:bCs/>
              </w:rPr>
              <w:t>901042368-3</w:t>
            </w:r>
          </w:p>
        </w:tc>
      </w:tr>
      <w:tr w:rsidR="1B6EB091" w14:paraId="6FD628C3" w14:textId="77777777" w:rsidTr="1B6EB091">
        <w:trPr>
          <w:trHeight w:val="300"/>
        </w:trPr>
        <w:tc>
          <w:tcPr>
            <w:tcW w:w="4508" w:type="dxa"/>
          </w:tcPr>
          <w:p w14:paraId="04473FE9" w14:textId="4400B016" w:rsidR="1B6EB091" w:rsidRDefault="1B6EB091" w:rsidP="1B6EB091">
            <w:pPr>
              <w:rPr>
                <w:rFonts w:ascii="Aptos" w:eastAsia="Aptos" w:hAnsi="Aptos" w:cs="Aptos"/>
              </w:rPr>
            </w:pPr>
            <w:r w:rsidRPr="1B6EB091">
              <w:rPr>
                <w:rFonts w:ascii="Aptos" w:eastAsia="Aptos" w:hAnsi="Aptos" w:cs="Aptos"/>
              </w:rPr>
              <w:t>Actividad Desarrollada</w:t>
            </w:r>
          </w:p>
        </w:tc>
        <w:tc>
          <w:tcPr>
            <w:tcW w:w="4508" w:type="dxa"/>
          </w:tcPr>
          <w:p w14:paraId="6B3D736F" w14:textId="7D986C30" w:rsidR="1B6EB091" w:rsidRDefault="1B6EB091" w:rsidP="1B6EB091">
            <w:r w:rsidRPr="1B6EB091">
              <w:rPr>
                <w:rFonts w:ascii="Aptos" w:eastAsia="Aptos" w:hAnsi="Aptos" w:cs="Aptos"/>
              </w:rPr>
              <w:t>Generación, Distribución y Comercialización</w:t>
            </w:r>
          </w:p>
        </w:tc>
      </w:tr>
      <w:tr w:rsidR="1B6EB091" w14:paraId="653E7E11" w14:textId="77777777" w:rsidTr="1B6EB091">
        <w:trPr>
          <w:trHeight w:val="300"/>
        </w:trPr>
        <w:tc>
          <w:tcPr>
            <w:tcW w:w="4508" w:type="dxa"/>
          </w:tcPr>
          <w:p w14:paraId="3750120B" w14:textId="07F45E77" w:rsidR="33719783" w:rsidRDefault="33719783" w:rsidP="1B6EB091">
            <w:pPr>
              <w:rPr>
                <w:rFonts w:ascii="Aptos" w:eastAsia="Aptos" w:hAnsi="Aptos" w:cs="Aptos"/>
              </w:rPr>
            </w:pPr>
            <w:r w:rsidRPr="1B6EB091">
              <w:rPr>
                <w:rFonts w:ascii="Aptos" w:eastAsia="Aptos" w:hAnsi="Aptos" w:cs="Aptos"/>
              </w:rPr>
              <w:t>Clasificación</w:t>
            </w:r>
          </w:p>
        </w:tc>
        <w:tc>
          <w:tcPr>
            <w:tcW w:w="4508" w:type="dxa"/>
          </w:tcPr>
          <w:p w14:paraId="56E38385" w14:textId="7641F8E4" w:rsidR="1B6EB091" w:rsidRDefault="1B6EB091" w:rsidP="1B6EB091">
            <w:r w:rsidRPr="1B6EB091">
              <w:rPr>
                <w:rFonts w:ascii="Aptos" w:eastAsia="Aptos" w:hAnsi="Aptos" w:cs="Aptos"/>
              </w:rPr>
              <w:t>Zonas No Interconectadas</w:t>
            </w:r>
          </w:p>
        </w:tc>
      </w:tr>
      <w:tr w:rsidR="1B6EB091" w14:paraId="627E520C" w14:textId="77777777" w:rsidTr="1B6EB091">
        <w:trPr>
          <w:trHeight w:val="300"/>
        </w:trPr>
        <w:tc>
          <w:tcPr>
            <w:tcW w:w="4508" w:type="dxa"/>
          </w:tcPr>
          <w:p w14:paraId="56FF385B" w14:textId="72859365" w:rsidR="1B6EB091" w:rsidRDefault="1B6EB091" w:rsidP="1B6EB091">
            <w:r w:rsidRPr="1B6EB091">
              <w:rPr>
                <w:rFonts w:ascii="Aptos" w:eastAsia="Aptos" w:hAnsi="Aptos" w:cs="Aptos"/>
              </w:rPr>
              <w:t>Tipo de Sociedad</w:t>
            </w:r>
          </w:p>
        </w:tc>
        <w:tc>
          <w:tcPr>
            <w:tcW w:w="4508" w:type="dxa"/>
          </w:tcPr>
          <w:p w14:paraId="2CF6104E" w14:textId="12A4692F" w:rsidR="1B6EB091" w:rsidRDefault="1B6EB091" w:rsidP="1B6EB091">
            <w:r w:rsidRPr="1B6EB091">
              <w:rPr>
                <w:rFonts w:ascii="Aptos" w:eastAsia="Aptos" w:hAnsi="Aptos" w:cs="Aptos"/>
              </w:rPr>
              <w:t>Sociedad Anónima</w:t>
            </w:r>
          </w:p>
        </w:tc>
      </w:tr>
    </w:tbl>
    <w:p w14:paraId="36C985AA" w14:textId="3A5897A6" w:rsidR="4B6139BC" w:rsidRDefault="4B6139BC" w:rsidP="1B6EB091">
      <w:pPr>
        <w:spacing w:before="240" w:after="240"/>
        <w:jc w:val="both"/>
      </w:pPr>
      <w:r w:rsidRPr="1B6EB091">
        <w:rPr>
          <w:rFonts w:ascii="Aptos" w:eastAsia="Aptos" w:hAnsi="Aptos" w:cs="Aptos"/>
        </w:rPr>
        <w:t xml:space="preserve">Este </w:t>
      </w:r>
      <w:r w:rsidRPr="1B6EB091">
        <w:rPr>
          <w:rFonts w:ascii="Aptos" w:eastAsia="Aptos" w:hAnsi="Aptos" w:cs="Aptos"/>
          <w:b/>
          <w:bCs/>
        </w:rPr>
        <w:t>operador privado</w:t>
      </w:r>
      <w:r w:rsidRPr="1B6EB091">
        <w:rPr>
          <w:rFonts w:ascii="Aptos" w:eastAsia="Aptos" w:hAnsi="Aptos" w:cs="Aptos"/>
        </w:rPr>
        <w:t xml:space="preserve"> brinda el servicio público de energía eléctrica en 9 departamentos (La Guajira, Vaupés, Cesar, Magdalena, Córdoba, Putumayo, Caquetá, Meta y Atlántico) y 23 municipios, utilizando Soluciones Solares Fotovoltaicas Individuales (SSFVI). Adicionalmente, en las localidades de Cabo de la Vela y Media Luna opera mediante generación diésel, mientras que en Nazareth emplea un sistema híbrido que combina energía solar con baterías y diésel.</w:t>
      </w:r>
    </w:p>
    <w:p w14:paraId="790D4C99" w14:textId="3AE9B229" w:rsidR="0513BD2B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¿Dónde opera</w:t>
      </w:r>
      <w:r w:rsidR="2FE73690" w:rsidRPr="1B6EB091">
        <w:rPr>
          <w:b/>
          <w:bCs/>
        </w:rPr>
        <w:t xml:space="preserve"> - Usuarios</w:t>
      </w:r>
      <w:r w:rsidRPr="1B6EB091">
        <w:rPr>
          <w:b/>
          <w:bCs/>
        </w:rPr>
        <w:t>?</w:t>
      </w:r>
    </w:p>
    <w:p w14:paraId="2D4B097D" w14:textId="6E0CC500" w:rsidR="46927F51" w:rsidRDefault="46927F51" w:rsidP="1B6EB091">
      <w:pPr>
        <w:jc w:val="both"/>
      </w:pPr>
      <w:r w:rsidRPr="1B6EB091">
        <w:rPr>
          <w:rFonts w:ascii="Aptos" w:eastAsia="Aptos" w:hAnsi="Aptos" w:cs="Aptos"/>
        </w:rPr>
        <w:t>Según lo certificado por Helios en el SUI, la infraestructura sobre la cual se realiza la Administración, Mantenimiento y Gestión Comercial – AMGC en la ZNI mediante SSFVI, equivale a 13 2671 unidades o suscriptores ubicados en 9 departamentos, 23 municipios y 622 localidades.</w:t>
      </w:r>
    </w:p>
    <w:p w14:paraId="477DA45D" w14:textId="7D41B2C4" w:rsidR="1B6EB091" w:rsidRDefault="1B6EB091" w:rsidP="1B6EB091">
      <w:pPr>
        <w:jc w:val="both"/>
        <w:rPr>
          <w:rFonts w:ascii="Aptos" w:eastAsia="Aptos" w:hAnsi="Aptos" w:cs="Aptos"/>
        </w:rPr>
      </w:pPr>
    </w:p>
    <w:p w14:paraId="33ED5BFF" w14:textId="72FD5301" w:rsidR="46927F51" w:rsidRDefault="46927F51" w:rsidP="1B6EB091">
      <w:pPr>
        <w:jc w:val="center"/>
      </w:pPr>
      <w:r>
        <w:rPr>
          <w:noProof/>
        </w:rPr>
        <w:lastRenderedPageBreak/>
        <w:drawing>
          <wp:inline distT="0" distB="0" distL="0" distR="0" wp14:anchorId="4D05BB49" wp14:editId="248FB706">
            <wp:extent cx="3600952" cy="4925114"/>
            <wp:effectExtent l="0" t="0" r="0" b="0"/>
            <wp:docPr id="1328631335" name="Imagen 132863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952" cy="492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2D078" w14:textId="2666A09F" w:rsidR="338EBBD2" w:rsidRDefault="338EBBD2" w:rsidP="1B6EB091">
      <w:pPr>
        <w:jc w:val="center"/>
      </w:pPr>
      <w:r>
        <w:t>Fuente: Informe de inspección concreta Helios Energía S.A. E.S.P. 2022 - SSPD</w:t>
      </w:r>
    </w:p>
    <w:p w14:paraId="60A2C1BA" w14:textId="3AE202C9" w:rsidR="0BCAE5F8" w:rsidRDefault="0BCAE5F8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 xml:space="preserve">A 2022, el prestador remitió el inventario de las SSFVI sobre las cuales realiza las actividades de AMGC, donde, se presenta la cantidad de SSFVI y la potencia instalada que aproximadamente a 9,6 </w:t>
      </w:r>
      <w:proofErr w:type="spellStart"/>
      <w:r w:rsidRPr="1B6EB091">
        <w:rPr>
          <w:rFonts w:ascii="Aptos" w:eastAsia="Aptos" w:hAnsi="Aptos" w:cs="Aptos"/>
        </w:rPr>
        <w:t>MWp</w:t>
      </w:r>
      <w:proofErr w:type="spellEnd"/>
      <w:r w:rsidRPr="1B6EB091">
        <w:rPr>
          <w:rFonts w:ascii="Aptos" w:eastAsia="Aptos" w:hAnsi="Aptos" w:cs="Aptos"/>
        </w:rPr>
        <w:t xml:space="preserve"> instalados en 13 390 SSFVI.</w:t>
      </w:r>
    </w:p>
    <w:p w14:paraId="15E66636" w14:textId="7C950A60" w:rsidR="19CCF256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AOM que realizan a los proyectos de los fondos</w:t>
      </w:r>
      <w:r w:rsidR="5C6E2C47" w:rsidRPr="1B6EB091">
        <w:rPr>
          <w:b/>
          <w:bCs/>
        </w:rPr>
        <w:t xml:space="preserve"> – </w:t>
      </w:r>
      <w:r w:rsidR="126E2B47" w:rsidRPr="1B6EB091">
        <w:rPr>
          <w:b/>
          <w:bCs/>
        </w:rPr>
        <w:t>Valores</w:t>
      </w:r>
    </w:p>
    <w:p w14:paraId="09879558" w14:textId="602AEA6F" w:rsidR="7DF02546" w:rsidRDefault="7DF02546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En el 2023 no se realizó contratación de proyectos FAZNI, sin embargo, en la vigencia 2024 se realizó la contratación de seis (6) proyectos FAZNI que tienen AOM a cargo de Helios, con un total de 3.163 usuarios beneficiarios.</w:t>
      </w:r>
    </w:p>
    <w:p w14:paraId="0BC29B32" w14:textId="3B0E97DF" w:rsidR="008828FC" w:rsidRDefault="008828FC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Tabla 2.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889"/>
        <w:gridCol w:w="1329"/>
        <w:gridCol w:w="1134"/>
        <w:gridCol w:w="836"/>
        <w:gridCol w:w="1361"/>
        <w:gridCol w:w="1468"/>
      </w:tblGrid>
      <w:tr w:rsidR="1B6EB091" w14:paraId="2108A0C2" w14:textId="77777777" w:rsidTr="1B6EB091">
        <w:trPr>
          <w:trHeight w:val="855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A40B58A" w14:textId="018AF7BC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Objeto del Proyecto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37560BC" w14:textId="54AFA18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Departamento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4F1D0BF" w14:textId="0A22BCB2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Municipio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C580943" w14:textId="183011F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No de usuarios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BDAFD06" w14:textId="37A01DC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Costo x Usuario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1FE5B5E" w14:textId="33064F5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Valor total del proyecto</w:t>
            </w:r>
          </w:p>
        </w:tc>
      </w:tr>
      <w:tr w:rsidR="1B6EB091" w14:paraId="68475484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3F3FB" w14:textId="39BEB22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balboa,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C63274" w14:textId="45B2136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6B439" w14:textId="2A171FE3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Balboa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83C8A" w14:textId="1D12539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663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67202" w14:textId="348E516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27.802.544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C131B" w14:textId="193978E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18.433.086.627 </w:t>
            </w:r>
          </w:p>
        </w:tc>
      </w:tr>
      <w:tr w:rsidR="1B6EB091" w14:paraId="3B3507E5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5F081" w14:textId="69229D3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lastRenderedPageBreak/>
              <w:t>Proyecto construcción de proyecto para dar solución energética sostenible a comunidades en la zona rural del municipio de Bolívar,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68AF" w14:textId="61C9D7A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38163" w14:textId="6F675888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Bolívar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DD779" w14:textId="78C7BD1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25421" w14:textId="0E19260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28.490.891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5CA91" w14:textId="7D85FF5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11.652.774.399 </w:t>
            </w:r>
          </w:p>
        </w:tc>
      </w:tr>
      <w:tr w:rsidR="1B6EB091" w14:paraId="0A5888B3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477EBD" w14:textId="04BDCA7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Cajibío.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DCC587" w14:textId="778D4EF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8F1EB3" w14:textId="039F0B26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Cajibío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8D80C5" w14:textId="2173DF5F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460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84E04" w14:textId="1E41B5D2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27.688.187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3BA49C" w14:textId="4D34E6D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12.736.566.134 </w:t>
            </w:r>
          </w:p>
        </w:tc>
      </w:tr>
      <w:tr w:rsidR="1B6EB091" w14:paraId="2859BB33" w14:textId="77777777" w:rsidTr="1B6EB091">
        <w:trPr>
          <w:trHeight w:val="72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44ABA" w14:textId="1ACAB21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Implementación de sistemas autónomos de generación de energía solar fotovoltaica para la energización de viviendas en las zonas rurales no interconectadas del municipio de Juan de Acosta.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2DCFB" w14:textId="5A3AD15D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Atlántico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1119E" w14:textId="60EB1FF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Juan de Acosta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617DD" w14:textId="15530756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62AE22" w14:textId="4828A6E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27.274.397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CB7FB7" w14:textId="4DEBE94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2.809.262.840</w:t>
            </w:r>
          </w:p>
        </w:tc>
      </w:tr>
      <w:tr w:rsidR="1B6EB091" w14:paraId="5A2149F0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D0597" w14:textId="0188C0A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Suarez,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14DB0" w14:textId="43321AD0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4E304" w14:textId="73B4A05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Suárez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A56C43" w14:textId="248C5A0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590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1A5C" w14:textId="4BD3B53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27.775.788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2EF550" w14:textId="2E866A0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16.387.715.028 </w:t>
            </w:r>
          </w:p>
        </w:tc>
      </w:tr>
      <w:tr w:rsidR="1B6EB091" w14:paraId="548CBF4E" w14:textId="77777777" w:rsidTr="1B6EB091">
        <w:trPr>
          <w:trHeight w:val="72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EC5CC" w14:textId="0A794B6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sistemas individuales solares fotovoltaicos para las comunidades rurales y dispersas de las ZNI del municipio de Tierralta, departamento de córdoba.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735D61" w14:textId="39FD100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Córdoba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45D1E" w14:textId="56CE01E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Tierralta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CC733" w14:textId="7D6A9AA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938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754C8" w14:textId="1DBADE58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31.773.710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71EC0" w14:textId="1656443C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29.803.739.554</w:t>
            </w:r>
          </w:p>
        </w:tc>
      </w:tr>
    </w:tbl>
    <w:p w14:paraId="16E57985" w14:textId="498CE056" w:rsidR="204DE518" w:rsidRDefault="204DE518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Fuente: Elaboración Propia</w:t>
      </w:r>
    </w:p>
    <w:p w14:paraId="4C513E09" w14:textId="2E86F14F" w:rsidR="0513BD2B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 xml:space="preserve">Subsidios </w:t>
      </w:r>
      <w:r w:rsidR="76587B02" w:rsidRPr="1B6EB091">
        <w:rPr>
          <w:b/>
          <w:bCs/>
        </w:rPr>
        <w:t xml:space="preserve">pagados </w:t>
      </w:r>
      <w:r w:rsidR="426544F8" w:rsidRPr="1B6EB091">
        <w:rPr>
          <w:b/>
          <w:bCs/>
        </w:rPr>
        <w:t>históricamente</w:t>
      </w:r>
    </w:p>
    <w:p w14:paraId="72778D5B" w14:textId="0425285E" w:rsidR="4870D350" w:rsidRDefault="4870D350" w:rsidP="1B6EB091">
      <w:r w:rsidRPr="1B6EB091">
        <w:rPr>
          <w:rFonts w:ascii="Aptos" w:eastAsia="Aptos" w:hAnsi="Aptos" w:cs="Aptos"/>
        </w:rPr>
        <w:t>A continuación, se presenta un resumen de los recursos económicos transferidos a la empresa HELIOS ENERGÍA S.A. ESP en concepto de subsidios. A través de una tabla, se ilustran los montos girados desde el año 2018 hasta el segundo trimestre de 2024, proporcionando una visión clara y ordenada de la evolución en la asignación de estos apoyos financieros en el tiempo.</w:t>
      </w:r>
    </w:p>
    <w:p w14:paraId="3E8EC9D5" w14:textId="58825741" w:rsidR="4870D350" w:rsidRDefault="4870D350" w:rsidP="1B6EB091">
      <w:pPr>
        <w:jc w:val="center"/>
      </w:pPr>
      <w:r w:rsidRPr="1B6EB091">
        <w:rPr>
          <w:rFonts w:ascii="Aptos" w:eastAsia="Aptos" w:hAnsi="Aptos" w:cs="Aptos"/>
        </w:rPr>
        <w:t xml:space="preserve"> </w:t>
      </w:r>
      <w:r w:rsidR="426544F8">
        <w:rPr>
          <w:noProof/>
        </w:rPr>
        <w:drawing>
          <wp:inline distT="0" distB="0" distL="0" distR="0" wp14:anchorId="2C9B1B6D" wp14:editId="08FF106A">
            <wp:extent cx="4584592" cy="2755631"/>
            <wp:effectExtent l="0" t="0" r="0" b="0"/>
            <wp:docPr id="735520795" name="Imagen 735520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92" cy="275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E040F" w14:textId="1166E891" w:rsidR="1B6EB091" w:rsidRPr="00891B8B" w:rsidRDefault="1305A1ED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Este análisis permite comprender el impacto de los subsidios en la operación de la empresa y su rol en la prestación del servicio de energía eléctrica en las Zonas No Interconectadas (ZNI).</w:t>
      </w:r>
    </w:p>
    <w:sectPr w:rsidR="1B6EB091" w:rsidRPr="00891B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DE47B"/>
    <w:multiLevelType w:val="hybridMultilevel"/>
    <w:tmpl w:val="C63C7D88"/>
    <w:lvl w:ilvl="0" w:tplc="71FA2258">
      <w:start w:val="1"/>
      <w:numFmt w:val="decimal"/>
      <w:lvlText w:val="%1."/>
      <w:lvlJc w:val="left"/>
      <w:pPr>
        <w:ind w:left="720" w:hanging="360"/>
      </w:pPr>
    </w:lvl>
    <w:lvl w:ilvl="1" w:tplc="0F4E7A32">
      <w:start w:val="1"/>
      <w:numFmt w:val="lowerLetter"/>
      <w:lvlText w:val="%2."/>
      <w:lvlJc w:val="left"/>
      <w:pPr>
        <w:ind w:left="1440" w:hanging="360"/>
      </w:pPr>
    </w:lvl>
    <w:lvl w:ilvl="2" w:tplc="3C76C79E">
      <w:start w:val="1"/>
      <w:numFmt w:val="lowerRoman"/>
      <w:lvlText w:val="%3."/>
      <w:lvlJc w:val="right"/>
      <w:pPr>
        <w:ind w:left="2160" w:hanging="180"/>
      </w:pPr>
    </w:lvl>
    <w:lvl w:ilvl="3" w:tplc="A17A5108">
      <w:start w:val="1"/>
      <w:numFmt w:val="decimal"/>
      <w:lvlText w:val="%4."/>
      <w:lvlJc w:val="left"/>
      <w:pPr>
        <w:ind w:left="2880" w:hanging="360"/>
      </w:pPr>
    </w:lvl>
    <w:lvl w:ilvl="4" w:tplc="0330AF9E">
      <w:start w:val="1"/>
      <w:numFmt w:val="lowerLetter"/>
      <w:lvlText w:val="%5."/>
      <w:lvlJc w:val="left"/>
      <w:pPr>
        <w:ind w:left="3600" w:hanging="360"/>
      </w:pPr>
    </w:lvl>
    <w:lvl w:ilvl="5" w:tplc="D2C67F3A">
      <w:start w:val="1"/>
      <w:numFmt w:val="lowerRoman"/>
      <w:lvlText w:val="%6."/>
      <w:lvlJc w:val="right"/>
      <w:pPr>
        <w:ind w:left="4320" w:hanging="180"/>
      </w:pPr>
    </w:lvl>
    <w:lvl w:ilvl="6" w:tplc="518CD81C">
      <w:start w:val="1"/>
      <w:numFmt w:val="decimal"/>
      <w:lvlText w:val="%7."/>
      <w:lvlJc w:val="left"/>
      <w:pPr>
        <w:ind w:left="5040" w:hanging="360"/>
      </w:pPr>
    </w:lvl>
    <w:lvl w:ilvl="7" w:tplc="5BE6FFAC">
      <w:start w:val="1"/>
      <w:numFmt w:val="lowerLetter"/>
      <w:lvlText w:val="%8."/>
      <w:lvlJc w:val="left"/>
      <w:pPr>
        <w:ind w:left="5760" w:hanging="360"/>
      </w:pPr>
    </w:lvl>
    <w:lvl w:ilvl="8" w:tplc="22707236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26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339F4A"/>
    <w:rsid w:val="001F0C6C"/>
    <w:rsid w:val="008828FC"/>
    <w:rsid w:val="00891B8B"/>
    <w:rsid w:val="00A826B6"/>
    <w:rsid w:val="00DE1CCE"/>
    <w:rsid w:val="00FE52B5"/>
    <w:rsid w:val="03BE174F"/>
    <w:rsid w:val="0513BD2B"/>
    <w:rsid w:val="05D2EBB1"/>
    <w:rsid w:val="07B5B331"/>
    <w:rsid w:val="081DB57D"/>
    <w:rsid w:val="0BCAE5F8"/>
    <w:rsid w:val="0C1A7072"/>
    <w:rsid w:val="11ECDE0D"/>
    <w:rsid w:val="126186A0"/>
    <w:rsid w:val="126E2B47"/>
    <w:rsid w:val="1305A1ED"/>
    <w:rsid w:val="14302140"/>
    <w:rsid w:val="15162096"/>
    <w:rsid w:val="16E05D5C"/>
    <w:rsid w:val="18D42049"/>
    <w:rsid w:val="19CCF256"/>
    <w:rsid w:val="1B6EB091"/>
    <w:rsid w:val="1CC32901"/>
    <w:rsid w:val="204DE518"/>
    <w:rsid w:val="214D3BC3"/>
    <w:rsid w:val="27207862"/>
    <w:rsid w:val="2C372381"/>
    <w:rsid w:val="2FE73690"/>
    <w:rsid w:val="33719783"/>
    <w:rsid w:val="338EBBD2"/>
    <w:rsid w:val="365E2797"/>
    <w:rsid w:val="366AD2F8"/>
    <w:rsid w:val="3A2EE08C"/>
    <w:rsid w:val="3D3E2DDB"/>
    <w:rsid w:val="3D60EB19"/>
    <w:rsid w:val="3D86B916"/>
    <w:rsid w:val="3DD62B8A"/>
    <w:rsid w:val="4162EFEA"/>
    <w:rsid w:val="426544F8"/>
    <w:rsid w:val="43339F4A"/>
    <w:rsid w:val="4577B416"/>
    <w:rsid w:val="45841363"/>
    <w:rsid w:val="46927F51"/>
    <w:rsid w:val="4870D350"/>
    <w:rsid w:val="4B4E7E04"/>
    <w:rsid w:val="4B6139BC"/>
    <w:rsid w:val="4EC1EECC"/>
    <w:rsid w:val="4FAD99EB"/>
    <w:rsid w:val="53333061"/>
    <w:rsid w:val="54A31600"/>
    <w:rsid w:val="598193B1"/>
    <w:rsid w:val="5B307A8D"/>
    <w:rsid w:val="5C6E2C47"/>
    <w:rsid w:val="62D368EC"/>
    <w:rsid w:val="6CC9AB3C"/>
    <w:rsid w:val="6E9C957C"/>
    <w:rsid w:val="6FF826EE"/>
    <w:rsid w:val="702804C9"/>
    <w:rsid w:val="7116BF82"/>
    <w:rsid w:val="76587B02"/>
    <w:rsid w:val="7AD6C414"/>
    <w:rsid w:val="7D17BA73"/>
    <w:rsid w:val="7DF02546"/>
    <w:rsid w:val="7F71EB2C"/>
    <w:rsid w:val="7FD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9F4A"/>
  <w15:chartTrackingRefBased/>
  <w15:docId w15:val="{0EC89B39-CC91-4455-8FF6-0FBFF00D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1B6EB091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7d97978da7960fc47ceb3119292fdd5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7284cbf5c81cb3e07ee082b507d35b3f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BF0B3-505F-4552-9D47-0B11AC606D47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1FF53390-B348-45DF-9872-C4FBCE785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901A8-3893-45F3-90B4-C404FC556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9895-93ab-4536-b1cb-77a268359520"/>
    <ds:schemaRef ds:uri="189b51a7-d269-4f29-b142-79e8ee84f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STEPHANNY BARRETO MANTILLA</dc:creator>
  <cp:keywords/>
  <dc:description/>
  <cp:lastModifiedBy>Farid Tovar</cp:lastModifiedBy>
  <cp:revision>3</cp:revision>
  <dcterms:created xsi:type="dcterms:W3CDTF">2025-01-15T22:11:00Z</dcterms:created>
  <dcterms:modified xsi:type="dcterms:W3CDTF">2026-06-04T22:20:00Z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